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DA3" w:rsidRDefault="00F714B8">
      <w:pPr>
        <w:rPr>
          <w:sz w:val="32"/>
          <w:szCs w:val="32"/>
        </w:rPr>
      </w:pPr>
      <w:r>
        <w:rPr>
          <w:sz w:val="32"/>
          <w:szCs w:val="32"/>
        </w:rPr>
        <w:t>Johan Huizinga</w:t>
      </w:r>
    </w:p>
    <w:p w:rsidR="00F714B8" w:rsidRDefault="00F714B8">
      <w:pPr>
        <w:rPr>
          <w:sz w:val="32"/>
          <w:szCs w:val="32"/>
        </w:rPr>
      </w:pPr>
      <w:r>
        <w:rPr>
          <w:sz w:val="32"/>
          <w:szCs w:val="32"/>
        </w:rPr>
        <w:t>Wizerunek śmierci</w:t>
      </w:r>
    </w:p>
    <w:p w:rsidR="00F714B8" w:rsidRDefault="00F714B8">
      <w:pPr>
        <w:rPr>
          <w:sz w:val="32"/>
          <w:szCs w:val="32"/>
        </w:rPr>
      </w:pPr>
      <w:r>
        <w:rPr>
          <w:sz w:val="32"/>
          <w:szCs w:val="32"/>
        </w:rPr>
        <w:t>[1] Nigdy żadna epoka nie wpajała nikomu raz po raz z taką siłą myśli o śmierci, jak czynił to wiek XV. W życiu ówczesnym nieustannie rozbrzmiewa wołanie: memento Mori. […] Oczywiście</w:t>
      </w:r>
      <w:r w:rsidR="00D1584B">
        <w:rPr>
          <w:sz w:val="32"/>
          <w:szCs w:val="32"/>
        </w:rPr>
        <w:t>,</w:t>
      </w:r>
      <w:r>
        <w:rPr>
          <w:sz w:val="32"/>
          <w:szCs w:val="32"/>
        </w:rPr>
        <w:t xml:space="preserve"> wiara również</w:t>
      </w:r>
      <w:r w:rsidR="00D1584B">
        <w:rPr>
          <w:sz w:val="32"/>
          <w:szCs w:val="32"/>
        </w:rPr>
        <w:t xml:space="preserve"> i dawniej z całą powagą akcentowała nieustanną myśl o śmierci, jednakże pobożne traktaty z wczesnego średniowiecza docierali jedynie do tych, którzy i tak już wzięli rozbrat ze światem. Dopiero wówczas, gdy wraz z powstaniem zakonów żebraczych rozwinęło się kaznodziejstwo ludowe, napominanie urosło w olbrzymi chór gróźb, który przenikał świat z gwałtownością właściwą tematowi fugi.</w:t>
      </w:r>
    </w:p>
    <w:p w:rsidR="00767A27" w:rsidRDefault="00D1584B">
      <w:pPr>
        <w:rPr>
          <w:sz w:val="32"/>
          <w:szCs w:val="32"/>
        </w:rPr>
      </w:pPr>
      <w:r>
        <w:rPr>
          <w:sz w:val="32"/>
          <w:szCs w:val="32"/>
        </w:rPr>
        <w:t>[2] Pod koniec średniowiecza do słów kaznodziei przyłącza się nowy typ przedstawienia obrazowego, a mianowicie drzeworyt. Drzeworyt otworzył sobie drogę do wszystkich warstw</w:t>
      </w:r>
      <w:r w:rsidR="00767A27">
        <w:rPr>
          <w:sz w:val="32"/>
          <w:szCs w:val="32"/>
        </w:rPr>
        <w:t xml:space="preserve">. Te dwa środki </w:t>
      </w:r>
      <w:proofErr w:type="spellStart"/>
      <w:r w:rsidR="00767A27">
        <w:rPr>
          <w:sz w:val="32"/>
          <w:szCs w:val="32"/>
        </w:rPr>
        <w:t>wyrozu</w:t>
      </w:r>
      <w:proofErr w:type="spellEnd"/>
      <w:r w:rsidR="00767A27">
        <w:rPr>
          <w:sz w:val="32"/>
          <w:szCs w:val="32"/>
        </w:rPr>
        <w:t xml:space="preserve"> – kazanie i kartka ulotna – były w stanie narzucić myśl o śmierci jaskrawo i ostro, w formie bardzo prostej, bezpośredniej, żywej i obliczonej na oddziaływanie masowe. Wszystko, co we wczesnej epoce braciszek klasztorny mógł wydumać na temat kresu ludzkiego życia, zagęszcza się teraz w końcowo prymitywnym, ludowym </w:t>
      </w:r>
      <w:proofErr w:type="spellStart"/>
      <w:r w:rsidR="00767A27">
        <w:rPr>
          <w:sz w:val="32"/>
          <w:szCs w:val="32"/>
        </w:rPr>
        <w:t>ilapidalnym</w:t>
      </w:r>
      <w:proofErr w:type="spellEnd"/>
      <w:r w:rsidR="00767A27">
        <w:rPr>
          <w:sz w:val="32"/>
          <w:szCs w:val="32"/>
        </w:rPr>
        <w:t xml:space="preserve"> obrazie śmierci i w tej postaci owa idea utrzymuje się w wyobraźni mas […]</w:t>
      </w:r>
    </w:p>
    <w:p w:rsidR="0074236B" w:rsidRDefault="00767A27">
      <w:pPr>
        <w:rPr>
          <w:sz w:val="32"/>
          <w:szCs w:val="32"/>
        </w:rPr>
      </w:pPr>
      <w:r>
        <w:rPr>
          <w:sz w:val="32"/>
          <w:szCs w:val="32"/>
        </w:rPr>
        <w:t xml:space="preserve">[3] </w:t>
      </w:r>
      <w:r w:rsidR="0074236B">
        <w:rPr>
          <w:sz w:val="32"/>
          <w:szCs w:val="32"/>
        </w:rPr>
        <w:t xml:space="preserve">Istniały trzy zasadnicze tematy, które tworzyły melodię tej nigdy do końca niewyśpiewanej skargi na kres wszystkich wspaniałości ziemskich. Przede wszystkim był to motyw pytania: gdzież podzieli się ci wszyscy, które niegdyś napełniali świat swym </w:t>
      </w:r>
      <w:proofErr w:type="spellStart"/>
      <w:r w:rsidR="0074236B">
        <w:rPr>
          <w:sz w:val="32"/>
          <w:szCs w:val="32"/>
        </w:rPr>
        <w:t>przepychem?Następnie</w:t>
      </w:r>
      <w:proofErr w:type="spellEnd"/>
      <w:r w:rsidR="0074236B">
        <w:rPr>
          <w:sz w:val="32"/>
          <w:szCs w:val="32"/>
        </w:rPr>
        <w:t xml:space="preserve"> był to motyw przejmującego grozą przedstawienia rozkładu całej piękności ludzkiej. Wreszcie zaś motyw tańca śmierci: oto śmierć porywa za sobą ludzi każdego wieku i stanu.</w:t>
      </w:r>
    </w:p>
    <w:p w:rsidR="0074236B" w:rsidRDefault="0074236B">
      <w:pPr>
        <w:rPr>
          <w:sz w:val="32"/>
          <w:szCs w:val="32"/>
        </w:rPr>
      </w:pPr>
    </w:p>
    <w:p w:rsidR="0074236B" w:rsidRDefault="0074236B">
      <w:pPr>
        <w:rPr>
          <w:sz w:val="32"/>
          <w:szCs w:val="32"/>
        </w:rPr>
      </w:pPr>
      <w:r>
        <w:rPr>
          <w:sz w:val="32"/>
          <w:szCs w:val="32"/>
        </w:rPr>
        <w:lastRenderedPageBreak/>
        <w:t>Pytania do tekstu:</w:t>
      </w:r>
    </w:p>
    <w:p w:rsidR="0074236B" w:rsidRDefault="0074236B" w:rsidP="0074236B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Za pomocą jakich środków językowych autor podkreślił wyjątkowe znaczenie motywu śmierci w </w:t>
      </w:r>
      <w:proofErr w:type="spellStart"/>
      <w:r>
        <w:rPr>
          <w:sz w:val="32"/>
          <w:szCs w:val="32"/>
        </w:rPr>
        <w:t>w</w:t>
      </w:r>
      <w:proofErr w:type="spellEnd"/>
      <w:r>
        <w:rPr>
          <w:sz w:val="32"/>
          <w:szCs w:val="32"/>
        </w:rPr>
        <w:t xml:space="preserve">. </w:t>
      </w:r>
      <w:proofErr w:type="spellStart"/>
      <w:r>
        <w:rPr>
          <w:sz w:val="32"/>
          <w:szCs w:val="32"/>
        </w:rPr>
        <w:t>XV?Odpowiedz</w:t>
      </w:r>
      <w:proofErr w:type="spellEnd"/>
      <w:r>
        <w:rPr>
          <w:sz w:val="32"/>
          <w:szCs w:val="32"/>
        </w:rPr>
        <w:t xml:space="preserve"> na podstawie inicjalnego zdania akapitu 1.</w:t>
      </w:r>
    </w:p>
    <w:p w:rsidR="004679F6" w:rsidRDefault="0074236B" w:rsidP="004679F6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Które z podanych poniżej znaczeń zwrotu „</w:t>
      </w:r>
      <w:r w:rsidR="004679F6">
        <w:rPr>
          <w:sz w:val="32"/>
          <w:szCs w:val="32"/>
        </w:rPr>
        <w:t>wzięli rozbrat ze światem”  jest właściwe?</w:t>
      </w:r>
    </w:p>
    <w:p w:rsidR="004679F6" w:rsidRDefault="004679F6" w:rsidP="004679F6">
      <w:pPr>
        <w:pStyle w:val="Akapitzlis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Umarli</w:t>
      </w:r>
    </w:p>
    <w:p w:rsidR="004679F6" w:rsidRDefault="004679F6" w:rsidP="004679F6">
      <w:pPr>
        <w:pStyle w:val="Akapitzlis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Wstąpili do klasztoru</w:t>
      </w:r>
    </w:p>
    <w:p w:rsidR="004679F6" w:rsidRDefault="004679F6" w:rsidP="004679F6">
      <w:pPr>
        <w:pStyle w:val="Akapitzlis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Zbuntowali się przeciwko zasadom rządzącym światem</w:t>
      </w:r>
    </w:p>
    <w:p w:rsidR="004679F6" w:rsidRDefault="004679F6" w:rsidP="004679F6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Jakie czynniki wpłynęły na spopularyzowanie myśli o śmierci w kulturze XV stulecia? Odpowiedz na podstawie akapitów 1 i 2.</w:t>
      </w:r>
    </w:p>
    <w:p w:rsidR="004679F6" w:rsidRDefault="004679F6" w:rsidP="004679F6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Na podstawie akapitu 2. Odpowiedz jakie były cechy obrazu śmierci, który pojawił się w XV w.</w:t>
      </w:r>
    </w:p>
    <w:p w:rsidR="004679F6" w:rsidRDefault="004679F6" w:rsidP="004679F6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Na podstawie akapitu 3. Wymień najważniejsze motywy tworzące średniowieczny wizerunek śmierci.</w:t>
      </w:r>
    </w:p>
    <w:p w:rsidR="00D1584B" w:rsidRPr="004679F6" w:rsidRDefault="004679F6" w:rsidP="004679F6">
      <w:pPr>
        <w:pStyle w:val="Akapitzlist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Jakie metafory łączą akapity 1 i 3?</w:t>
      </w:r>
      <w:r w:rsidR="00767A27" w:rsidRPr="004679F6">
        <w:rPr>
          <w:sz w:val="32"/>
          <w:szCs w:val="32"/>
        </w:rPr>
        <w:t xml:space="preserve"> </w:t>
      </w:r>
    </w:p>
    <w:sectPr w:rsidR="00D1584B" w:rsidRPr="004679F6" w:rsidSect="006E3D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00631"/>
    <w:multiLevelType w:val="hybridMultilevel"/>
    <w:tmpl w:val="FF5C1754"/>
    <w:lvl w:ilvl="0" w:tplc="3DBE0C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07816F4"/>
    <w:multiLevelType w:val="hybridMultilevel"/>
    <w:tmpl w:val="81064C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714B8"/>
    <w:rsid w:val="004679F6"/>
    <w:rsid w:val="006E3DA3"/>
    <w:rsid w:val="0074236B"/>
    <w:rsid w:val="00767A27"/>
    <w:rsid w:val="00D1584B"/>
    <w:rsid w:val="00F71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3D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23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334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Kępińska</dc:creator>
  <cp:keywords/>
  <dc:description/>
  <cp:lastModifiedBy>Kępińska</cp:lastModifiedBy>
  <cp:revision>2</cp:revision>
  <dcterms:created xsi:type="dcterms:W3CDTF">2010-06-09T10:22:00Z</dcterms:created>
  <dcterms:modified xsi:type="dcterms:W3CDTF">2010-06-09T11:19:00Z</dcterms:modified>
</cp:coreProperties>
</file>